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rPr>
      </w:pPr>
      <w:r w:rsidRPr="00953ADA">
        <w:rPr>
          <w:rFonts w:ascii="Consolas" w:eastAsia="Times New Roman" w:hAnsi="Consolas" w:cs="Times New Roman"/>
          <w:b/>
          <w:bCs/>
          <w:color w:val="425EA9"/>
          <w:sz w:val="48"/>
          <w:szCs w:val="48"/>
        </w:rPr>
        <w:t>Groundwater Preservation</w:t>
      </w:r>
    </w:p>
    <w:p w:rsidR="00684B8B" w:rsidRPr="00953ADA" w:rsidRDefault="00684B8B" w:rsidP="00684B8B">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0" w:name="What_Is_Groundwater"/>
      <w:r w:rsidRPr="00953ADA">
        <w:rPr>
          <w:rFonts w:ascii="Consolas" w:eastAsia="Times New Roman" w:hAnsi="Consolas" w:cs="Times New Roman"/>
          <w:b/>
          <w:bCs/>
          <w:color w:val="425EA9"/>
          <w:sz w:val="32"/>
          <w:szCs w:val="32"/>
        </w:rPr>
        <w:t>What Is Groundwater?</w:t>
      </w:r>
    </w:p>
    <w:bookmarkEnd w:id="0"/>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Groundwater In The North West</w:t>
      </w:r>
    </w:p>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w:t>
      </w:r>
      <w:r>
        <w:rPr>
          <w:rFonts w:ascii="Corbel" w:eastAsia="Corbel" w:hAnsi="Corbel" w:cs="Times New Roman"/>
        </w:rPr>
        <w:t xml:space="preserve"> (see Water Quality Classifications For 2011)</w:t>
      </w:r>
      <w:r w:rsidRPr="00953ADA">
        <w:rPr>
          <w:rFonts w:ascii="Corbel" w:eastAsia="Corbel" w:hAnsi="Corbel" w:cs="Times New Roman"/>
        </w:rPr>
        <w:t>.  In the North East, groundwater is used for irrigation and town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1" w:name="Groundwater_Issues"/>
      <w:r w:rsidRPr="00953ADA">
        <w:rPr>
          <w:rFonts w:ascii="Consolas" w:eastAsia="Times New Roman" w:hAnsi="Consolas" w:cs="Times New Roman"/>
          <w:b/>
          <w:bCs/>
          <w:color w:val="425EA9"/>
          <w:sz w:val="32"/>
          <w:szCs w:val="32"/>
        </w:rPr>
        <w:t>Groundwater Issues In The North West</w:t>
      </w:r>
    </w:p>
    <w:bookmarkEnd w:id="1"/>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r w:rsidR="00B017C2">
        <w:rPr>
          <w:rStyle w:val="FootnoteReference"/>
          <w:rFonts w:ascii="Corbel" w:eastAsia="Corbel" w:hAnsi="Corbel" w:cs="Times New Roman"/>
          <w:color w:val="000000"/>
        </w:rPr>
        <w:footnoteReference w:id="1"/>
      </w:r>
      <w:r w:rsidRPr="00953ADA">
        <w:rPr>
          <w:rFonts w:ascii="Corbel" w:eastAsia="Corbel" w:hAnsi="Corbel" w:cs="Times New Roman"/>
          <w:color w:val="000000"/>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2" w:name="Groundwater_Protected"/>
      <w:r w:rsidRPr="00953ADA">
        <w:rPr>
          <w:rFonts w:ascii="Consolas" w:eastAsia="Times New Roman" w:hAnsi="Consolas" w:cs="Times New Roman"/>
          <w:b/>
          <w:bCs/>
          <w:color w:val="425EA9"/>
          <w:sz w:val="32"/>
          <w:szCs w:val="32"/>
        </w:rPr>
        <w:lastRenderedPageBreak/>
        <w:t>How Can Groundwater Be Protected?</w:t>
      </w:r>
    </w:p>
    <w:bookmarkEnd w:id="2"/>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Alpheius Global Enterprises (AGE</w:t>
      </w:r>
      <w:r w:rsidR="00BF3385">
        <w:rPr>
          <w:rStyle w:val="FootnoteReference"/>
          <w:rFonts w:ascii="Corbel" w:eastAsia="Corbel" w:hAnsi="Corbel" w:cs="Times New Roman"/>
          <w:color w:val="000000"/>
        </w:rPr>
        <w:footnoteReference w:id="2"/>
      </w:r>
      <w:r w:rsidRPr="00953ADA">
        <w:rPr>
          <w:rFonts w:ascii="Corbel" w:eastAsia="Corbel" w:hAnsi="Corbel" w:cs="Times New Roman"/>
          <w:color w:val="000000"/>
        </w:rPr>
        <w:t>),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 known species.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other main issue is one of pollution from historical farming and industry methods. While legislation now protects the aquifer and prevents dumping of waste and toxic chemicals, there are residual problems fro</w:t>
      </w:r>
      <w:r>
        <w:rPr>
          <w:rFonts w:ascii="Corbel" w:eastAsia="Corbel" w:hAnsi="Corbel" w:cs="Times New Roman"/>
          <w:lang w:eastAsia="en-AU"/>
        </w:rPr>
        <w:t>m past practises</w:t>
      </w:r>
      <w:r w:rsidR="0006620B">
        <w:rPr>
          <w:rStyle w:val="EndnoteReference"/>
          <w:rFonts w:ascii="Corbel" w:eastAsia="Corbel" w:hAnsi="Corbel" w:cs="Times New Roman"/>
          <w:lang w:eastAsia="en-AU"/>
        </w:rPr>
        <w:endnoteReference w:id="1"/>
      </w:r>
      <w:r>
        <w:rPr>
          <w:rFonts w:ascii="Corbel" w:eastAsia="Corbel" w:hAnsi="Corbel" w:cs="Times New Roman"/>
          <w:lang w:eastAsia="en-AU"/>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3" w:name="Groundwater_Improved"/>
      <w:r w:rsidRPr="00953ADA">
        <w:rPr>
          <w:rFonts w:ascii="Consolas" w:eastAsia="Times New Roman" w:hAnsi="Consolas" w:cs="Times New Roman"/>
          <w:b/>
          <w:bCs/>
          <w:color w:val="425EA9"/>
          <w:sz w:val="32"/>
          <w:szCs w:val="32"/>
        </w:rPr>
        <w:t>How Can The North West Groundwater Be Improved?</w:t>
      </w:r>
    </w:p>
    <w:bookmarkEnd w:id="3"/>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Pr>
          <w:rFonts w:ascii="Corbel" w:eastAsia="Corbel" w:hAnsi="Corbel" w:cs="Times New Roman"/>
          <w:lang w:eastAsia="en-AU"/>
        </w:rPr>
        <w:t>groundwater monitoring programs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groundwater contamination in relation to copper-chrome-a</w:t>
      </w:r>
      <w:r>
        <w:rPr>
          <w:rFonts w:ascii="Corbel" w:eastAsia="Corbel" w:hAnsi="Corbel" w:cs="Times New Roman"/>
          <w:lang w:eastAsia="en-AU"/>
        </w:rPr>
        <w:t>rsenate timber treatment plants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pollution threats t</w:t>
      </w:r>
      <w:r>
        <w:rPr>
          <w:rFonts w:ascii="Corbel" w:eastAsia="Corbel" w:hAnsi="Corbel" w:cs="Times New Roman"/>
          <w:lang w:eastAsia="en-AU"/>
        </w:rPr>
        <w:t>o the three lakes in the region</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investigations into long-term trends in phosphates and nit</w:t>
      </w:r>
      <w:r>
        <w:rPr>
          <w:rFonts w:ascii="Corbel" w:eastAsia="Corbel" w:hAnsi="Corbel" w:cs="Times New Roman"/>
          <w:lang w:eastAsia="en-AU"/>
        </w:rPr>
        <w:t>rates.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t>Lakes Catchment Area</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Groundwater in the Lakes Catchment Area in the area surrounding Green Lake, Lake Lisbon and Lake Wentworth is part of the aquifer system that is present throughout the North West. The groundwater is a source of water for the lakes that provide drinking water for Northwo</w:t>
      </w:r>
      <w:r>
        <w:rPr>
          <w:rFonts w:ascii="Corbel" w:eastAsia="Corbel" w:hAnsi="Corbel" w:cs="Times New Roman"/>
          <w:lang w:eastAsia="en-AU"/>
        </w:rPr>
        <w:t>od and other local populations.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4" w:name="Water_Quality"/>
      <w:r w:rsidRPr="00953ADA">
        <w:rPr>
          <w:rFonts w:ascii="Consolas" w:eastAsia="Times New Roman" w:hAnsi="Consolas" w:cs="Times New Roman"/>
          <w:b/>
          <w:bCs/>
          <w:color w:val="425EA9"/>
          <w:sz w:val="32"/>
          <w:szCs w:val="32"/>
        </w:rPr>
        <w:t>Assessment Of Water Quality</w:t>
      </w:r>
    </w:p>
    <w:bookmarkEnd w:id="4"/>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5" w:name="_Ref176325690"/>
      <w:bookmarkStart w:id="6" w:name="Water_Quality_Classifications"/>
      <w:r w:rsidRPr="00953ADA">
        <w:rPr>
          <w:rFonts w:ascii="Consolas" w:eastAsia="Times New Roman" w:hAnsi="Consolas" w:cs="Times New Roman"/>
          <w:b/>
          <w:bCs/>
          <w:color w:val="425EA9"/>
          <w:sz w:val="32"/>
          <w:szCs w:val="32"/>
        </w:rPr>
        <w:t>Water Quality Classifications For 20</w:t>
      </w:r>
      <w:bookmarkEnd w:id="5"/>
      <w:r>
        <w:rPr>
          <w:rFonts w:ascii="Consolas" w:eastAsia="Times New Roman" w:hAnsi="Consolas" w:cs="Times New Roman"/>
          <w:b/>
          <w:bCs/>
          <w:color w:val="425EA9"/>
          <w:sz w:val="32"/>
          <w:szCs w:val="32"/>
        </w:rPr>
        <w:t>11</w:t>
      </w:r>
    </w:p>
    <w:tbl>
      <w:tblPr>
        <w:tblStyle w:val="LightShading-Accent51"/>
        <w:tblW w:w="4442" w:type="pct"/>
        <w:tblInd w:w="108" w:type="dxa"/>
        <w:tblLook w:val="04A0" w:firstRow="1" w:lastRow="0" w:firstColumn="1" w:lastColumn="0" w:noHBand="0" w:noVBand="1"/>
      </w:tblPr>
      <w:tblGrid>
        <w:gridCol w:w="1918"/>
        <w:gridCol w:w="1626"/>
        <w:gridCol w:w="1469"/>
        <w:gridCol w:w="1503"/>
        <w:gridCol w:w="1503"/>
      </w:tblGrid>
      <w:tr w:rsidR="00684B8B" w:rsidRPr="00953ADA"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6"/>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Overall, the groundwater quality in the Lakes Catchment Area is considered poor for the local habitat due to the high level of phosphates and metals</w:t>
      </w:r>
      <w:r w:rsidR="00E724F3">
        <w:rPr>
          <w:rStyle w:val="EndnoteReference"/>
          <w:rFonts w:ascii="Corbel" w:eastAsia="Corbel" w:hAnsi="Corbel" w:cs="Times New Roman"/>
          <w:lang w:eastAsia="en-AU"/>
        </w:rPr>
        <w:endnoteReference w:id="2"/>
      </w:r>
      <w:r w:rsidRPr="00953ADA">
        <w:rPr>
          <w:rFonts w:ascii="Corbel" w:eastAsia="Corbel" w:hAnsi="Corbel" w:cs="Times New Roman"/>
          <w:lang w:eastAsia="en-AU"/>
        </w:rPr>
        <w:t>. The elevated phosphorus is most likely due to current and historical improper agricultural and waste disposal practices. Water taken from the aquifers in this region should not be used for human or animal consumption without testing or filtering due to the incr</w:t>
      </w:r>
      <w:r>
        <w:rPr>
          <w:rFonts w:ascii="Corbel" w:eastAsia="Corbel" w:hAnsi="Corbel" w:cs="Times New Roman"/>
          <w:lang w:eastAsia="en-AU"/>
        </w:rPr>
        <w:t>eased risk of infant mortality.</w:t>
      </w:r>
    </w:p>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On a positive note, while pesticides have been detected in the Lakes Catchment Area in previous testing periods, they have been absent for the past three years indicating greatly improved agricul</w:t>
      </w:r>
      <w:r>
        <w:rPr>
          <w:rFonts w:ascii="Corbel" w:eastAsia="Corbel" w:hAnsi="Corbel" w:cs="Times New Roman"/>
          <w:lang w:eastAsia="en-AU"/>
        </w:rPr>
        <w:t>tural practices in the region.</w:t>
      </w:r>
    </w:p>
    <w:p w:rsidR="00405E6D" w:rsidRDefault="00405E6D"/>
    <w:sectPr w:rsidR="00405E6D" w:rsidSect="009861ED">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DC4" w:rsidRDefault="002D6DC4">
      <w:pPr>
        <w:spacing w:after="0" w:line="240" w:lineRule="auto"/>
      </w:pPr>
      <w:r>
        <w:separator/>
      </w:r>
    </w:p>
  </w:endnote>
  <w:endnote w:type="continuationSeparator" w:id="0">
    <w:p w:rsidR="002D6DC4" w:rsidRDefault="002D6DC4">
      <w:pPr>
        <w:spacing w:after="0" w:line="240" w:lineRule="auto"/>
      </w:pPr>
      <w:r>
        <w:continuationSeparator/>
      </w:r>
    </w:p>
  </w:endnote>
  <w:endnote w:id="1">
    <w:p w:rsidR="0006620B" w:rsidRDefault="0006620B">
      <w:pPr>
        <w:pStyle w:val="EndnoteText"/>
      </w:pPr>
      <w:r>
        <w:rPr>
          <w:rStyle w:val="EndnoteReference"/>
        </w:rPr>
        <w:endnoteRef/>
      </w:r>
      <w:r>
        <w:t xml:space="preserve"> </w:t>
      </w:r>
      <w:r w:rsidR="00F56319">
        <w:t>Hartley, W. (2006) Long-term Effects of Toxic Materials on Water Quality, CSIRO, Melbourne.</w:t>
      </w:r>
    </w:p>
  </w:endnote>
  <w:endnote w:id="2">
    <w:p w:rsidR="00E724F3" w:rsidRDefault="00E724F3">
      <w:pPr>
        <w:pStyle w:val="EndnoteText"/>
      </w:pPr>
      <w:r>
        <w:rPr>
          <w:rStyle w:val="EndnoteReference"/>
        </w:rPr>
        <w:endnoteRef/>
      </w:r>
      <w:r>
        <w:t xml:space="preserve"> Green, J.W. (2007) Local Census of Water Quality, Department of Agriculture, Maintown.</w:t>
      </w:r>
      <w:bookmarkStart w:id="7" w:name="_GoBack"/>
      <w:bookmarkEnd w:id="7"/>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9079"/>
      <w:docPartObj>
        <w:docPartGallery w:val="Page Numbers (Bottom of Page)"/>
        <w:docPartUnique/>
      </w:docPartObj>
    </w:sdtPr>
    <w:sdtEndPr/>
    <w:sdtContent>
      <w:p w:rsidR="00C2288F" w:rsidRDefault="00684B8B">
        <w:pPr>
          <w:pStyle w:val="Footer"/>
          <w:jc w:val="right"/>
        </w:pPr>
        <w:r>
          <w:t xml:space="preserve">Page | </w:t>
        </w:r>
        <w:r>
          <w:fldChar w:fldCharType="begin"/>
        </w:r>
        <w:r>
          <w:instrText xml:space="preserve"> PAGE   \* MERGEFORMAT </w:instrText>
        </w:r>
        <w:r>
          <w:fldChar w:fldCharType="separate"/>
        </w:r>
        <w:r w:rsidR="002D6DC4">
          <w:rPr>
            <w:noProof/>
          </w:rPr>
          <w:t>1</w:t>
        </w:r>
        <w:r>
          <w:rPr>
            <w:noProof/>
          </w:rPr>
          <w:fldChar w:fldCharType="end"/>
        </w:r>
        <w:r>
          <w:t xml:space="preserve"> </w:t>
        </w:r>
      </w:p>
    </w:sdtContent>
  </w:sdt>
  <w:p w:rsidR="00C2288F" w:rsidRDefault="002D6D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DC4" w:rsidRDefault="002D6DC4">
      <w:pPr>
        <w:spacing w:after="0" w:line="240" w:lineRule="auto"/>
      </w:pPr>
      <w:r>
        <w:separator/>
      </w:r>
    </w:p>
  </w:footnote>
  <w:footnote w:type="continuationSeparator" w:id="0">
    <w:p w:rsidR="002D6DC4" w:rsidRDefault="002D6DC4">
      <w:pPr>
        <w:spacing w:after="0" w:line="240" w:lineRule="auto"/>
      </w:pPr>
      <w:r>
        <w:continuationSeparator/>
      </w:r>
    </w:p>
  </w:footnote>
  <w:footnote w:id="1">
    <w:p w:rsidR="00B017C2" w:rsidRDefault="00B017C2">
      <w:pPr>
        <w:pStyle w:val="FootnoteText"/>
      </w:pPr>
      <w:r>
        <w:rPr>
          <w:rStyle w:val="FootnoteReference"/>
        </w:rPr>
        <w:footnoteRef/>
      </w:r>
      <w:r>
        <w:t xml:space="preserve"> Up to 75% of the water needs of the area are satisfied via aquifiers</w:t>
      </w:r>
    </w:p>
  </w:footnote>
  <w:footnote w:id="2">
    <w:p w:rsidR="00BF3385" w:rsidRDefault="00BF3385">
      <w:pPr>
        <w:pStyle w:val="FootnoteText"/>
      </w:pPr>
      <w:r>
        <w:rPr>
          <w:rStyle w:val="FootnoteReference"/>
        </w:rPr>
        <w:footnoteRef/>
      </w:r>
      <w:r>
        <w:t xml:space="preserve"> AGE is a registered trademark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B8B"/>
    <w:rsid w:val="0006620B"/>
    <w:rsid w:val="002D6DC4"/>
    <w:rsid w:val="003B5A7B"/>
    <w:rsid w:val="00405E6D"/>
    <w:rsid w:val="005B299E"/>
    <w:rsid w:val="00684B8B"/>
    <w:rsid w:val="00B017C2"/>
    <w:rsid w:val="00BF3385"/>
    <w:rsid w:val="00E724F3"/>
    <w:rsid w:val="00F56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EAB6ED-19D5-4DE5-874E-262E8D24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B8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84B8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84B8B"/>
  </w:style>
  <w:style w:type="table" w:customStyle="1" w:styleId="LightShading-Accent51">
    <w:name w:val="Light Shading - Accent 51"/>
    <w:basedOn w:val="TableNormal"/>
    <w:next w:val="LightShading-Accent5"/>
    <w:uiPriority w:val="60"/>
    <w:rsid w:val="00684B8B"/>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semiHidden/>
    <w:unhideWhenUsed/>
    <w:rsid w:val="00684B8B"/>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noteText">
    <w:name w:val="footnote text"/>
    <w:basedOn w:val="Normal"/>
    <w:link w:val="FootnoteTextChar"/>
    <w:uiPriority w:val="99"/>
    <w:semiHidden/>
    <w:unhideWhenUsed/>
    <w:rsid w:val="00B017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17C2"/>
    <w:rPr>
      <w:sz w:val="20"/>
      <w:szCs w:val="20"/>
    </w:rPr>
  </w:style>
  <w:style w:type="character" w:styleId="FootnoteReference">
    <w:name w:val="footnote reference"/>
    <w:basedOn w:val="DefaultParagraphFont"/>
    <w:uiPriority w:val="99"/>
    <w:semiHidden/>
    <w:unhideWhenUsed/>
    <w:rsid w:val="00B017C2"/>
    <w:rPr>
      <w:vertAlign w:val="superscript"/>
    </w:rPr>
  </w:style>
  <w:style w:type="paragraph" w:styleId="EndnoteText">
    <w:name w:val="endnote text"/>
    <w:basedOn w:val="Normal"/>
    <w:link w:val="EndnoteTextChar"/>
    <w:uiPriority w:val="99"/>
    <w:semiHidden/>
    <w:unhideWhenUsed/>
    <w:rsid w:val="0006620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6620B"/>
    <w:rPr>
      <w:sz w:val="20"/>
      <w:szCs w:val="20"/>
    </w:rPr>
  </w:style>
  <w:style w:type="character" w:styleId="EndnoteReference">
    <w:name w:val="endnote reference"/>
    <w:basedOn w:val="DefaultParagraphFont"/>
    <w:uiPriority w:val="99"/>
    <w:semiHidden/>
    <w:unhideWhenUsed/>
    <w:rsid w:val="000662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7606E-7386-410E-93C1-44B269E83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877</Words>
  <Characters>6578</Characters>
  <Application>Microsoft Office Word</Application>
  <DocSecurity>0</DocSecurity>
  <Lines>6578</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2013-08-29T00:02:00Z</dcterms:created>
  <dcterms:modified xsi:type="dcterms:W3CDTF">2013-08-29T00:06:00Z</dcterms:modified>
</cp:coreProperties>
</file>